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ackground w:color="FFFFFF"/>
  <w:body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rPr>
          <w:rFonts w:ascii="Times" w:hAnsi="Times"/>
          <w:b w:val="1"/>
          <w:bCs w:val="1"/>
        </w:rPr>
      </w:pPr>
      <w: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-285372</wp:posOffset>
            </wp:positionH>
            <wp:positionV relativeFrom="page">
              <wp:posOffset>651643</wp:posOffset>
            </wp:positionV>
            <wp:extent cx="6984071" cy="2074643"/>
            <wp:effectExtent l="0" t="0" r="0" b="0"/>
            <wp:wrapTopAndBottom distT="152400" distB="152400"/>
            <wp:docPr id="1073741825" name="officeArt object" descr="banner7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banner70.jpg" descr="banner70.jp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3933" t="0" r="0" b="0"/>
                    <a:stretch>
                      <a:fillRect/>
                    </a:stretch>
                  </pic:blipFill>
                  <pic:spPr>
                    <a:xfrm>
                      <a:off x="0" y="0"/>
                      <a:ext cx="6984071" cy="207464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rPr>
          <w:rFonts w:ascii="Times" w:hAnsi="Times"/>
          <w:b w:val="1"/>
          <w:bCs w:val="1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center"/>
        <w:rPr>
          <w:rFonts w:ascii="Times" w:cs="Times" w:hAnsi="Times" w:eastAsia="Times"/>
          <w:b w:val="1"/>
          <w:bCs w:val="1"/>
          <w:sz w:val="34"/>
          <w:szCs w:val="34"/>
          <w:shd w:val="clear" w:color="auto" w:fill="ffffff"/>
        </w:rPr>
      </w:pPr>
      <w:r>
        <w:rPr>
          <w:rFonts w:ascii="Times" w:hAnsi="Times"/>
          <w:b w:val="1"/>
          <w:bCs w:val="1"/>
          <w:sz w:val="34"/>
          <w:szCs w:val="34"/>
          <w:shd w:val="clear" w:color="auto" w:fill="ffffff"/>
          <w:rtl w:val="0"/>
          <w:lang w:val="it-IT"/>
        </w:rPr>
        <w:t>Call for papers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b w:val="1"/>
          <w:bCs w:val="1"/>
          <w:shd w:val="clear" w:color="auto" w:fill="ffffff"/>
          <w:rtl w:val="0"/>
          <w:lang w:val="it-IT"/>
        </w:rPr>
        <w:t>Data: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5-6 aprile 2019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b w:val="1"/>
          <w:bCs w:val="1"/>
          <w:shd w:val="clear" w:color="auto" w:fill="ffffff"/>
          <w:rtl w:val="0"/>
          <w:lang w:val="it-IT"/>
        </w:rPr>
        <w:t>Luogo: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Museo delle Civilt</w:t>
      </w:r>
      <w:r>
        <w:rPr>
          <w:rFonts w:ascii="Times" w:hAnsi="Times" w:hint="default"/>
          <w:shd w:val="clear" w:color="auto" w:fill="ffffff"/>
          <w:rtl w:val="0"/>
          <w:lang w:val="fr-FR"/>
        </w:rPr>
        <w:t>à</w:t>
      </w:r>
      <w:r>
        <w:rPr>
          <w:rFonts w:ascii="Times" w:hAnsi="Times"/>
          <w:shd w:val="clear" w:color="auto" w:fill="ffffff"/>
          <w:rtl w:val="0"/>
          <w:lang w:val="it-IT"/>
        </w:rPr>
        <w:t>, p.le Marconi 14, 00144 Roma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cs="Times" w:hAnsi="Times" w:eastAsia="Times"/>
          <w:shd w:val="clear" w:color="auto" w:fill="ffffff"/>
          <w:rtl w:val="0"/>
          <w:lang w:val="it-IT"/>
        </w:rPr>
        <w:tab/>
        <w:t>Sala Conferenze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  <w:r>
        <w:rPr>
          <w:rFonts w:ascii="Times" w:hAnsi="Times"/>
          <w:b w:val="1"/>
          <w:bCs w:val="1"/>
          <w:shd w:val="clear" w:color="auto" w:fill="ffffff"/>
          <w:rtl w:val="0"/>
          <w:lang w:val="it-IT"/>
        </w:rPr>
        <w:t>Organizzatori: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Sonia Tucci, Massimo Massussi (Paleoes - EXTAD), Francesca Alhaique, Paolo Boccuccia (Museo delle Civilt</w:t>
      </w:r>
      <w:r>
        <w:rPr>
          <w:rFonts w:ascii="Times" w:hAnsi="Times" w:hint="default"/>
          <w:shd w:val="clear" w:color="auto" w:fill="ffffff"/>
          <w:rtl w:val="0"/>
          <w:lang w:val="it-IT"/>
        </w:rPr>
        <w:t>à</w:t>
      </w:r>
      <w:r>
        <w:rPr>
          <w:rFonts w:ascii="Times" w:hAnsi="Times"/>
          <w:shd w:val="clear" w:color="auto" w:fill="ffffff"/>
          <w:rtl w:val="0"/>
          <w:lang w:val="it-IT"/>
        </w:rPr>
        <w:t>), Romina Laurito (Museo Nazionale Etrusco di Villa Giulia), Rosa Anna Di Lella, Claudio Cavazzuti (Istituto Centrale per la Demoetnoantropologia)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b w:val="1"/>
          <w:bCs w:val="1"/>
          <w:shd w:val="clear" w:color="auto" w:fill="ffffff"/>
          <w:rtl w:val="0"/>
          <w:lang w:val="it-IT"/>
        </w:rPr>
        <w:t>Media partner: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FORMA VRBIS - Fondazione Di</w:t>
      </w:r>
      <w:r>
        <w:rPr>
          <w:rFonts w:ascii="Times" w:hAnsi="Times" w:hint="default"/>
          <w:shd w:val="clear" w:color="auto" w:fill="ffffff"/>
          <w:rtl w:val="0"/>
          <w:lang w:val="it-IT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>Cultura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>L'uso dei metalli ha necessariamente comportato l'introduzione di nuove figure legate a tutte le fasi dei processi produttivi, dal reperimento delle materie prime ai prodotti finiti, e ha quindi partecipato in maniera significativa a modificare la struttura interna delle societ</w:t>
      </w:r>
      <w:r>
        <w:rPr>
          <w:rFonts w:ascii="Times" w:hAnsi="Times" w:hint="default"/>
          <w:shd w:val="clear" w:color="auto" w:fill="ffffff"/>
          <w:rtl w:val="0"/>
          <w:lang w:val="fr-FR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e i rapporti tra i vari segmenti che la costituiscono. Inoltre, si tratti di rame, ferro o oro, la distribuzione </w:t>
      </w:r>
      <w:r>
        <w:rPr>
          <w:rFonts w:ascii="Times" w:hAnsi="Times" w:hint="default"/>
          <w:shd w:val="clear" w:color="auto" w:fill="ffffff"/>
          <w:rtl w:val="0"/>
        </w:rPr>
        <w:t>‘</w:t>
      </w:r>
      <w:r>
        <w:rPr>
          <w:rFonts w:ascii="Times" w:hAnsi="Times"/>
          <w:shd w:val="clear" w:color="auto" w:fill="ffffff"/>
          <w:rtl w:val="0"/>
          <w:lang w:val="it-IT"/>
        </w:rPr>
        <w:t>diseguale</w:t>
      </w:r>
      <w:r>
        <w:rPr>
          <w:rFonts w:ascii="Times" w:hAnsi="Times" w:hint="default"/>
          <w:shd w:val="clear" w:color="auto" w:fill="ffffff"/>
          <w:rtl w:val="0"/>
        </w:rPr>
        <w:t xml:space="preserve">’ </w:t>
      </w:r>
      <w:r>
        <w:rPr>
          <w:rFonts w:ascii="Times" w:hAnsi="Times"/>
          <w:shd w:val="clear" w:color="auto" w:fill="ffffff"/>
          <w:rtl w:val="0"/>
          <w:lang w:val="it-IT"/>
        </w:rPr>
        <w:t>dei giacimenti metalliferi e la pluralit</w:t>
      </w:r>
      <w:r>
        <w:rPr>
          <w:rFonts w:ascii="Times" w:hAnsi="Times" w:hint="default"/>
          <w:shd w:val="clear" w:color="auto" w:fill="ffffff"/>
          <w:rtl w:val="0"/>
          <w:lang w:val="fr-FR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>di competenze e conoscenze coinvolte nella catena operativa, dal minerale all</w:t>
      </w:r>
      <w:r>
        <w:rPr>
          <w:rFonts w:ascii="Times" w:hAnsi="Times" w:hint="default"/>
          <w:shd w:val="clear" w:color="auto" w:fill="ffffff"/>
          <w:rtl w:val="0"/>
        </w:rPr>
        <w:t>’</w:t>
      </w:r>
      <w:r>
        <w:rPr>
          <w:rFonts w:ascii="Times" w:hAnsi="Times"/>
          <w:shd w:val="clear" w:color="auto" w:fill="ffffff"/>
          <w:rtl w:val="0"/>
          <w:lang w:val="it-IT"/>
        </w:rPr>
        <w:t>oggetto finito, impone agli artigiani e alle loro comunit</w:t>
      </w:r>
      <w:r>
        <w:rPr>
          <w:rFonts w:ascii="Times" w:hAnsi="Times" w:hint="default"/>
          <w:shd w:val="clear" w:color="auto" w:fill="ffffff"/>
          <w:rtl w:val="0"/>
          <w:lang w:val="fr-FR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la partecipazione a un </w:t>
      </w:r>
      <w:r>
        <w:rPr>
          <w:rFonts w:ascii="Times" w:hAnsi="Times"/>
          <w:i w:val="1"/>
          <w:iCs w:val="1"/>
          <w:shd w:val="clear" w:color="auto" w:fill="ffffff"/>
          <w:rtl w:val="0"/>
          <w:lang w:val="en-US"/>
        </w:rPr>
        <w:t>network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ampio e dinamico sulle cui direttrici viaggiano anche altre materie, prodotti e idee.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>A partire da casi studio su contesti archeologici, con particolare attenzione agli aspetti sperimentali ed etnoarcheologici, e da ricerche demoetnoantropologiche su contesti italiani, europei ed extraeuropei, ci proponiamo di fare emergere insieme ai relatori e al pubblico presente il contributo che l'introduzione della metallurgia e delle attivit</w:t>
      </w:r>
      <w:r>
        <w:rPr>
          <w:rFonts w:ascii="Times" w:hAnsi="Times" w:hint="default"/>
          <w:shd w:val="clear" w:color="auto" w:fill="ffffff"/>
          <w:rtl w:val="0"/>
          <w:lang w:val="fr-FR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>ad essa connesse hanno operato nella trasformazione della societ</w:t>
      </w:r>
      <w:r>
        <w:rPr>
          <w:rFonts w:ascii="Times" w:hAnsi="Times" w:hint="default"/>
          <w:shd w:val="clear" w:color="auto" w:fill="ffffff"/>
          <w:rtl w:val="0"/>
          <w:lang w:val="fr-FR"/>
        </w:rPr>
        <w:t>à</w:t>
      </w:r>
      <w:r>
        <w:rPr>
          <w:rFonts w:ascii="Times" w:hAnsi="Times"/>
          <w:shd w:val="clear" w:color="auto" w:fill="ffffff"/>
          <w:rtl w:val="0"/>
          <w:lang w:val="it-IT"/>
        </w:rPr>
        <w:t>, nelle dinamiche interne e nei rapporti tra le diverse comunit</w:t>
      </w:r>
      <w:r>
        <w:rPr>
          <w:rFonts w:ascii="Times" w:hAnsi="Times" w:hint="default"/>
          <w:shd w:val="clear" w:color="auto" w:fill="ffffff"/>
          <w:rtl w:val="0"/>
          <w:lang w:val="fr-FR"/>
        </w:rPr>
        <w:t>à</w:t>
      </w:r>
      <w:r>
        <w:rPr>
          <w:rFonts w:ascii="Times" w:hAnsi="Times"/>
          <w:shd w:val="clear" w:color="auto" w:fill="ffffff"/>
          <w:rtl w:val="0"/>
        </w:rPr>
        <w:t>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 xml:space="preserve">Nella tradizione aperta e interdisciplinare dei convegni di </w:t>
      </w:r>
      <w:r>
        <w:rPr>
          <w:rFonts w:ascii="Times" w:hAnsi="Times"/>
          <w:shd w:val="clear" w:color="auto" w:fill="ffffff"/>
          <w:rtl w:val="0"/>
          <w:lang w:val="it-IT"/>
        </w:rPr>
        <w:t>Archeofest</w:t>
      </w:r>
      <w:r>
        <w:rPr>
          <w:rFonts w:ascii="Times New Roman" w:hAnsi="Times New Roman" w:hint="default"/>
          <w:color w:val="212121"/>
          <w:sz w:val="18"/>
          <w:szCs w:val="18"/>
          <w:u w:color="212121"/>
          <w:shd w:val="clear" w:color="auto" w:fill="ffffff"/>
          <w:rtl w:val="0"/>
        </w:rPr>
        <w:t>®</w:t>
      </w:r>
      <w:r>
        <w:rPr>
          <w:rFonts w:ascii="Times New Roman" w:hAnsi="Times New Roman"/>
          <w:color w:val="212121"/>
          <w:sz w:val="18"/>
          <w:szCs w:val="18"/>
          <w:u w:color="212121"/>
          <w:shd w:val="clear" w:color="auto" w:fill="ffffff"/>
          <w:rtl w:val="0"/>
          <w:lang w:val="it-IT"/>
        </w:rPr>
        <w:t xml:space="preserve"> </w:t>
      </w:r>
      <w:r>
        <w:rPr>
          <w:rFonts w:ascii="Times" w:hAnsi="Times"/>
          <w:shd w:val="clear" w:color="auto" w:fill="ffffff"/>
          <w:rtl w:val="0"/>
          <w:lang w:val="it-IT"/>
        </w:rPr>
        <w:t>non abbiamo voluto porre limiti geografici, cronologici o disciplinari ai contributi. Verranno quindi valutate le proposte di comunicazione orale o di poster, privilegiando quelle a carattere innovativo, le nuove ricerche e gli studi inediti che affrontino le seguenti tematiche: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Dal minerale al metallo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Metalli, artigiani e tecniche in viaggio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Usi, riusi e ricicli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La bottega del fabbro/del gioielliere/dell'artigiano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Il metallurgo/il fabbro e le altre figure coinvolte nella catena operativa all'interno della comunit</w:t>
      </w:r>
      <w:r>
        <w:rPr>
          <w:rFonts w:ascii="Times" w:hAnsi="Times" w:hint="default"/>
          <w:i w:val="1"/>
          <w:iCs w:val="1"/>
          <w:shd w:val="clear" w:color="auto" w:fill="ffffff"/>
          <w:rtl w:val="0"/>
          <w:lang w:val="fr-FR"/>
        </w:rPr>
        <w:t>à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Peso, valore, moneta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Metallurgia e paesaggi culturali pre e post-industriali</w:t>
      </w:r>
    </w:p>
    <w:p>
      <w:pPr>
        <w:pStyle w:val="Di default"/>
        <w:numPr>
          <w:ilvl w:val="0"/>
          <w:numId w:val="2"/>
        </w:numPr>
        <w:bidi w:val="0"/>
        <w:spacing w:after="159" w:line="256" w:lineRule="auto"/>
        <w:ind w:right="0"/>
        <w:jc w:val="both"/>
        <w:rPr>
          <w:rFonts w:ascii="Times" w:hAnsi="Times"/>
          <w:i w:val="1"/>
          <w:iCs w:val="1"/>
          <w:rtl w:val="0"/>
          <w:lang w:val="it-IT"/>
        </w:rPr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Il restauro, la conservazione e la valorizzazione dei manufatti in metallo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  <w:r>
        <w:rPr>
          <w:rFonts w:ascii="Times" w:hAnsi="Times"/>
          <w:shd w:val="clear" w:color="auto" w:fill="ffffff"/>
          <w:rtl w:val="0"/>
          <w:lang w:val="it-IT"/>
        </w:rPr>
        <w:t xml:space="preserve">Le proposte di intervento dovranno essere inviate comprensive di </w:t>
      </w:r>
      <w:r>
        <w:rPr>
          <w:rFonts w:ascii="Times" w:hAnsi="Times"/>
          <w:b w:val="1"/>
          <w:bCs w:val="1"/>
          <w:shd w:val="clear" w:color="auto" w:fill="ffffff"/>
          <w:rtl w:val="0"/>
          <w:lang w:val="it-IT"/>
        </w:rPr>
        <w:t>titolo, autori e abstract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entro il </w:t>
      </w:r>
      <w:r>
        <w:rPr>
          <w:rFonts w:ascii="Times" w:hAnsi="Times"/>
          <w:b w:val="1"/>
          <w:bCs w:val="1"/>
          <w:u w:val="single"/>
          <w:shd w:val="clear" w:color="auto" w:fill="ffffff"/>
          <w:rtl w:val="0"/>
          <w:lang w:val="it-IT"/>
        </w:rPr>
        <w:t xml:space="preserve">14 gennaio 2019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all'indirizzo di posta elettronica </w:t>
      </w:r>
      <w:r>
        <w:rPr>
          <w:rFonts w:ascii="Times" w:hAnsi="Times"/>
          <w:b w:val="1"/>
          <w:bCs w:val="1"/>
          <w:u w:val="single"/>
          <w:shd w:val="clear" w:color="auto" w:fill="ffffff"/>
          <w:rtl w:val="0"/>
          <w:lang w:val="it-IT"/>
        </w:rPr>
        <w:t>convegnoarcheofest2019@gmail.com</w:t>
      </w:r>
      <w:r>
        <w:rPr>
          <w:rFonts w:ascii="Times" w:hAnsi="Times"/>
          <w:shd w:val="clear" w:color="auto" w:fill="ffffff"/>
          <w:rtl w:val="0"/>
          <w:lang w:val="it-IT"/>
        </w:rPr>
        <w:t>, specificando se si intende partecipare in forma di comunicazione orale o di poster. Le proposte verranno vagliate dal comitato organizzatore che provveder</w:t>
      </w:r>
      <w:r>
        <w:rPr>
          <w:rFonts w:ascii="Times" w:hAnsi="Times" w:hint="default"/>
          <w:shd w:val="clear" w:color="auto" w:fill="ffffff"/>
          <w:rtl w:val="0"/>
          <w:lang w:val="fr-FR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a dare una risposta entro il 29 gennaio.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>Gli atti del convegno</w:t>
      </w:r>
      <w:r>
        <w:rPr>
          <w:rFonts w:ascii="Times" w:hAnsi="Times"/>
          <w:i w:val="1"/>
          <w:iCs w:val="1"/>
          <w:shd w:val="clear" w:color="auto" w:fill="ffffff"/>
          <w:rtl w:val="0"/>
        </w:rPr>
        <w:t>,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saranno pubblicati in un volume curato dagli organizzatori ed edito da D</w:t>
      </w:r>
      <w:r>
        <w:rPr>
          <w:rFonts w:ascii="Times" w:hAnsi="Times" w:hint="default"/>
          <w:shd w:val="clear" w:color="auto" w:fill="ffffff"/>
          <w:rtl w:val="0"/>
          <w:lang w:val="it-IT"/>
        </w:rPr>
        <w:t>ì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a Cultura, dopo che i contributi pervenuti saranno stati sottoposti a </w:t>
      </w:r>
      <w:r>
        <w:rPr>
          <w:rFonts w:ascii="Times" w:hAnsi="Times"/>
          <w:i w:val="1"/>
          <w:iCs w:val="1"/>
          <w:shd w:val="clear" w:color="auto" w:fill="ffffff"/>
          <w:rtl w:val="0"/>
          <w:lang w:val="en-US"/>
        </w:rPr>
        <w:t>peer-review</w:t>
      </w:r>
      <w:r>
        <w:rPr>
          <w:rFonts w:ascii="Times" w:hAnsi="Times"/>
          <w:shd w:val="clear" w:color="auto" w:fill="ffffff"/>
          <w:rtl w:val="0"/>
        </w:rPr>
        <w:t xml:space="preserve">.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>Per partecipare al convegno con relazioni o poster occorre versare</w:t>
      </w:r>
      <w:r>
        <w:rPr>
          <w:rFonts w:ascii="Times" w:hAnsi="Times"/>
          <w:shd w:val="clear" w:color="auto" w:fill="ffffff"/>
          <w:rtl w:val="0"/>
          <w:lang w:val="it-IT"/>
        </w:rPr>
        <w:t>, tramite il link di registrazione,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una quota di partecipazione di 50 euro che comprender</w:t>
      </w:r>
      <w:r>
        <w:rPr>
          <w:rFonts w:ascii="Times" w:hAnsi="Times" w:hint="default"/>
          <w:shd w:val="clear" w:color="auto" w:fill="ffffff"/>
          <w:rtl w:val="0"/>
          <w:lang w:val="fr-FR"/>
        </w:rPr>
        <w:t>à</w:t>
      </w:r>
      <w:r>
        <w:rPr>
          <w:rFonts w:ascii="Times" w:hAnsi="Times"/>
          <w:shd w:val="clear" w:color="auto" w:fill="ffffff"/>
          <w:rtl w:val="0"/>
          <w:lang w:val="it-IT"/>
        </w:rPr>
        <w:t>: due pranzi, i coffee-break e la wine reception alla chiusura dei lavori</w:t>
      </w:r>
      <w:r>
        <w:rPr>
          <w:rFonts w:ascii="Times" w:hAnsi="Times"/>
          <w:shd w:val="clear" w:color="auto" w:fill="ffffff"/>
          <w:rtl w:val="0"/>
          <w:lang w:val="it-IT"/>
        </w:rPr>
        <w:t>.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Per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gli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studenti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la quota di partecipazione </w:t>
      </w:r>
      <w:r>
        <w:rPr>
          <w:rFonts w:ascii="Times" w:hAnsi="Times" w:hint="default"/>
          <w:shd w:val="clear" w:color="auto" w:fill="ffffff"/>
          <w:rtl w:val="0"/>
          <w:lang w:val="it-IT"/>
        </w:rPr>
        <w:t xml:space="preserve">è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ridotta a 25 euro.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>Anche gli uditori possono versare la medesima quota (</w:t>
      </w:r>
      <w:r>
        <w:rPr>
          <w:rFonts w:ascii="Times" w:hAnsi="Times"/>
          <w:shd w:val="clear" w:color="auto" w:fill="ffffff"/>
          <w:rtl w:val="0"/>
          <w:lang w:val="it-IT"/>
        </w:rPr>
        <w:t>con la distinzione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</w:t>
      </w:r>
      <w:r>
        <w:rPr>
          <w:rFonts w:ascii="Times" w:hAnsi="Times"/>
          <w:shd w:val="clear" w:color="auto" w:fill="ffffff"/>
          <w:rtl w:val="0"/>
          <w:lang w:val="it-IT"/>
        </w:rPr>
        <w:t>studenti e non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) per usufruire degli stessi servizi. Gli uditori che non intendano usufruire dei pranzi e della reception possono versare 10 euro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mediante il link di registrazione o </w:t>
      </w:r>
      <w:r>
        <w:rPr>
          <w:rFonts w:ascii="Times" w:hAnsi="Times"/>
          <w:shd w:val="clear" w:color="auto" w:fill="ffffff"/>
          <w:rtl w:val="0"/>
          <w:lang w:val="it-IT"/>
        </w:rPr>
        <w:t>all'arrivo il giorno del convegno e avranno diritto ai coffee-break per entrambi i giorni del convegno.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  <w:r>
        <w:rPr>
          <w:rFonts w:ascii="Times" w:hAnsi="Times"/>
          <w:shd w:val="clear" w:color="auto" w:fill="ffffff"/>
          <w:rtl w:val="0"/>
          <w:lang w:val="it-IT"/>
        </w:rPr>
        <w:t xml:space="preserve">La </w:t>
      </w:r>
      <w:r>
        <w:rPr>
          <w:rFonts w:ascii="Times" w:hAnsi="Times"/>
          <w:shd w:val="clear" w:color="auto" w:fill="ffffff"/>
          <w:rtl w:val="0"/>
          <w:lang w:val="it-IT"/>
        </w:rPr>
        <w:t>registrazione andr</w:t>
      </w:r>
      <w:r>
        <w:rPr>
          <w:rFonts w:ascii="Times" w:hAnsi="Times" w:hint="default"/>
          <w:shd w:val="clear" w:color="auto" w:fill="ffffff"/>
          <w:rtl w:val="0"/>
          <w:lang w:val="it-IT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effettuata al seguente link: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"http://www.paleoes.com/archeofest-2019"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</w:rPr>
        <w:t>www.paleoes.com/archeofest-</w:t>
      </w:r>
      <w:r>
        <w:rPr>
          <w:rStyle w:val="Hyperlink.0"/>
          <w:u w:val="none"/>
          <w:rtl w:val="0"/>
        </w:rPr>
        <w:t>2019</w:t>
      </w:r>
      <w:r>
        <w:rPr/>
        <w:fldChar w:fldCharType="end" w:fldLock="0"/>
      </w:r>
      <w:r>
        <w:rPr>
          <w:rFonts w:ascii="Times" w:hAnsi="Times"/>
          <w:shd w:val="clear" w:color="auto" w:fill="ffffff"/>
          <w:rtl w:val="0"/>
          <w:lang w:val="it-IT"/>
        </w:rPr>
        <w:t xml:space="preserve"> e, se pervenuta </w:t>
      </w:r>
      <w:r>
        <w:rPr>
          <w:rFonts w:ascii="Times" w:hAnsi="Times"/>
          <w:u w:val="single"/>
          <w:shd w:val="clear" w:color="auto" w:fill="ffffff"/>
          <w:rtl w:val="0"/>
          <w:lang w:val="it-IT"/>
        </w:rPr>
        <w:t>entro</w:t>
      </w:r>
      <w:r>
        <w:rPr>
          <w:rFonts w:ascii="Times" w:hAnsi="Times"/>
          <w:b w:val="1"/>
          <w:bCs w:val="1"/>
          <w:u w:val="single"/>
          <w:shd w:val="clear" w:color="auto" w:fill="ffffff"/>
          <w:rtl w:val="0"/>
          <w:lang w:val="it-IT"/>
        </w:rPr>
        <w:t xml:space="preserve"> il 1 </w:t>
      </w:r>
      <w:r>
        <w:rPr>
          <w:rFonts w:ascii="Times" w:hAnsi="Times"/>
          <w:b w:val="1"/>
          <w:bCs w:val="1"/>
          <w:u w:val="single"/>
          <w:shd w:val="clear" w:color="auto" w:fill="ffffff"/>
          <w:rtl w:val="0"/>
          <w:lang w:val="it-IT"/>
        </w:rPr>
        <w:t>marzo</w:t>
      </w:r>
      <w:r>
        <w:rPr>
          <w:rFonts w:ascii="Times" w:hAnsi="Times"/>
          <w:b w:val="1"/>
          <w:bCs w:val="1"/>
          <w:u w:val="single"/>
          <w:shd w:val="clear" w:color="auto" w:fill="ffffff"/>
          <w:rtl w:val="0"/>
          <w:lang w:val="it-IT"/>
        </w:rPr>
        <w:t xml:space="preserve"> 2019</w:t>
      </w:r>
      <w:r>
        <w:rPr>
          <w:rFonts w:ascii="Times" w:hAnsi="Times"/>
          <w:u w:val="single"/>
          <w:shd w:val="clear" w:color="auto" w:fill="ffffff"/>
          <w:rtl w:val="0"/>
          <w:lang w:val="it-IT"/>
        </w:rPr>
        <w:t>,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</w:t>
      </w:r>
      <w:r>
        <w:rPr>
          <w:rFonts w:ascii="Times" w:hAnsi="Times"/>
          <w:shd w:val="clear" w:color="auto" w:fill="ffffff"/>
          <w:rtl w:val="0"/>
          <w:lang w:val="it-IT"/>
        </w:rPr>
        <w:t>consentir</w:t>
      </w:r>
      <w:r>
        <w:rPr>
          <w:rFonts w:ascii="Times" w:hAnsi="Times" w:hint="default"/>
          <w:shd w:val="clear" w:color="auto" w:fill="ffffff"/>
          <w:rtl w:val="0"/>
          <w:lang w:val="it-IT"/>
        </w:rPr>
        <w:t xml:space="preserve">à </w:t>
      </w:r>
      <w:r>
        <w:rPr>
          <w:rFonts w:ascii="Times" w:hAnsi="Times"/>
          <w:shd w:val="clear" w:color="auto" w:fill="ffffff"/>
          <w:rtl w:val="0"/>
          <w:lang w:val="it-IT"/>
        </w:rPr>
        <w:t>di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ottenere lo sconto di 10 euro su 50 e 5 euro su 25 </w:t>
      </w:r>
      <w:r>
        <w:rPr>
          <w:rFonts w:ascii="Times" w:hAnsi="Times"/>
          <w:shd w:val="clear" w:color="auto" w:fill="ffffff"/>
          <w:rtl w:val="0"/>
          <w:lang w:val="it-IT"/>
        </w:rPr>
        <w:t>(4</w:t>
      </w:r>
      <w:r>
        <w:rPr>
          <w:rFonts w:ascii="Times" w:hAnsi="Times"/>
          <w:shd w:val="clear" w:color="auto" w:fill="ffffff"/>
          <w:rtl w:val="0"/>
          <w:lang w:val="it-IT"/>
        </w:rPr>
        <w:t>0</w:t>
      </w:r>
      <w:r>
        <w:rPr>
          <w:rFonts w:ascii="Times" w:hAnsi="Times"/>
          <w:shd w:val="clear" w:color="auto" w:fill="ffffff"/>
          <w:rtl w:val="0"/>
          <w:lang w:val="it-IT"/>
        </w:rPr>
        <w:t xml:space="preserve"> e 20 </w:t>
      </w:r>
      <w:r>
        <w:rPr>
          <w:rFonts w:ascii="Times" w:hAnsi="Times"/>
          <w:shd w:val="clear" w:color="auto" w:fill="ffffff"/>
          <w:rtl w:val="0"/>
          <w:lang w:val="it-IT"/>
        </w:rPr>
        <w:t>euro)</w:t>
      </w:r>
      <w:r>
        <w:rPr>
          <w:rFonts w:ascii="Times" w:hAnsi="Times"/>
          <w:shd w:val="clear" w:color="auto" w:fill="ffffff"/>
          <w:rtl w:val="0"/>
          <w:lang w:val="it-IT"/>
        </w:rPr>
        <w:t>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i w:val="1"/>
          <w:iCs w:val="1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i w:val="1"/>
          <w:iCs w:val="1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i w:val="1"/>
          <w:iCs w:val="1"/>
          <w:shd w:val="clear" w:color="auto" w:fill="ffffff"/>
        </w:rPr>
      </w:pPr>
      <w:r>
        <w:rPr>
          <w:rFonts w:ascii="Times" w:hAnsi="Times" w:hint="default"/>
          <w:i w:val="1"/>
          <w:iCs w:val="1"/>
          <w:shd w:val="clear" w:color="auto" w:fill="ffffff"/>
          <w:rtl w:val="0"/>
        </w:rPr>
        <w:t>“</w:t>
      </w: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 xml:space="preserve">L'uomo, senza l'argento ed oro, </w:t>
      </w:r>
      <w:r>
        <w:rPr>
          <w:rFonts w:ascii="Times" w:hAnsi="Times" w:hint="default"/>
          <w:i w:val="1"/>
          <w:iCs w:val="1"/>
          <w:shd w:val="clear" w:color="auto" w:fill="ffffff"/>
          <w:rtl w:val="0"/>
          <w:lang w:val="it-IT"/>
        </w:rPr>
        <w:t xml:space="preserve">è </w:t>
      </w: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come uccello senza piume, ch</w:t>
      </w:r>
      <w:r>
        <w:rPr>
          <w:rFonts w:ascii="Times" w:hAnsi="Times" w:hint="default"/>
          <w:i w:val="1"/>
          <w:iCs w:val="1"/>
          <w:shd w:val="clear" w:color="auto" w:fill="ffffff"/>
          <w:rtl w:val="0"/>
          <w:lang w:val="fr-FR"/>
        </w:rPr>
        <w:t xml:space="preserve">é </w:t>
      </w: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chi lo vuol prendere, sel prende, chi sel vuol mangiar, sel mangia</w:t>
      </w:r>
      <w:r>
        <w:rPr>
          <w:rFonts w:ascii="Times" w:hAnsi="Times" w:hint="default"/>
          <w:i w:val="1"/>
          <w:iCs w:val="1"/>
          <w:shd w:val="clear" w:color="auto" w:fill="ffffff"/>
          <w:rtl w:val="0"/>
        </w:rPr>
        <w:t>”</w:t>
      </w:r>
      <w:r>
        <w:rPr>
          <w:rFonts w:ascii="Times" w:hAnsi="Times"/>
          <w:i w:val="1"/>
          <w:iCs w:val="1"/>
          <w:shd w:val="clear" w:color="auto" w:fill="ffffff"/>
          <w:rtl w:val="0"/>
        </w:rPr>
        <w:t>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</w:pPr>
      <w:r>
        <w:rPr>
          <w:rFonts w:ascii="Times" w:hAnsi="Times"/>
          <w:i w:val="1"/>
          <w:iCs w:val="1"/>
          <w:shd w:val="clear" w:color="auto" w:fill="ffffff"/>
          <w:rtl w:val="0"/>
          <w:lang w:val="it-IT"/>
        </w:rPr>
        <w:t>Giordano Bruno</w:t>
      </w:r>
      <w:r>
        <w:rPr>
          <w:rFonts w:ascii="Times" w:cs="Times" w:hAnsi="Times" w:eastAsia="Times"/>
          <w:i w:val="1"/>
          <w:iCs w:val="1"/>
          <w:shd w:val="clear" w:color="auto" w:fill="ffffff"/>
          <w:lang w:val="it-IT"/>
        </w:rPr>
        <mc:AlternateContent>
          <mc:Choice Requires="wpg">
            <w:drawing>
              <wp:anchor distT="152400" distB="152400" distL="152400" distR="152400" simplePos="0" relativeHeight="251660288" behindDoc="0" locked="0" layoutInCell="1" allowOverlap="1">
                <wp:simplePos x="0" y="0"/>
                <wp:positionH relativeFrom="margin">
                  <wp:posOffset>-488329</wp:posOffset>
                </wp:positionH>
                <wp:positionV relativeFrom="line">
                  <wp:posOffset>1817273</wp:posOffset>
                </wp:positionV>
                <wp:extent cx="7092980" cy="1229290"/>
                <wp:effectExtent l="0" t="0" r="0" b="0"/>
                <wp:wrapTopAndBottom distT="152400" distB="152400"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92980" cy="1229290"/>
                          <a:chOff x="0" y="0"/>
                          <a:chExt cx="7092979" cy="1229289"/>
                        </a:xfrm>
                      </wpg:grpSpPr>
                      <pic:pic xmlns:pic="http://schemas.openxmlformats.org/drawingml/2006/picture">
                        <pic:nvPicPr>
                          <pic:cNvPr id="1073741826" name="LOGO-Paleoes-BLACK.png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154" cy="61294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7" name="logo icde.jpg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538464" y="247698"/>
                            <a:ext cx="554516" cy="37120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8" name="Forma Urbis dià.jpg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801387" y="901433"/>
                            <a:ext cx="1700432" cy="32785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9" name="muciv nuovo.png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247353" y="174701"/>
                            <a:ext cx="1460823" cy="43824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30" name="Logo Museo VG nuovo.jpg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485865" y="247698"/>
                            <a:ext cx="1086719" cy="34107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style="visibility:visible;position:absolute;margin-left:-38.5pt;margin-top:143.1pt;width:558.5pt;height:96.8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 coordorigin="0,0" coordsize="7092980,1229290">
                <w10:wrap type="topAndBottom" side="bothSides" anchorx="margin"/>
                <v:shape id="_x0000_s1027" type="#_x0000_t75" style="position:absolute;left:0;top:0;width:1790154;height:612949;">
                  <v:imagedata r:id="rId5" o:title="LOGO-Paleoes-BLACK.png"/>
                </v:shape>
                <v:shape id="_x0000_s1028" type="#_x0000_t75" style="position:absolute;left:6538464;top:247699;width:554515;height:371207;">
                  <v:imagedata r:id="rId6" o:title="logo icde.jpg"/>
                </v:shape>
                <v:shape id="_x0000_s1029" type="#_x0000_t75" style="position:absolute;left:2801387;top:901433;width:1700431;height:327856;">
                  <v:imagedata r:id="rId7" o:title="Forma Urbis dià.jpg"/>
                </v:shape>
                <v:shape id="_x0000_s1030" type="#_x0000_t75" style="position:absolute;left:2247354;top:174702;width:1460822;height:438247;">
                  <v:imagedata r:id="rId8" o:title="muciv nuovo.png"/>
                </v:shape>
                <v:shape id="_x0000_s1031" type="#_x0000_t75" style="position:absolute;left:4485866;top:247699;width:1086718;height:341073;">
                  <v:imagedata r:id="rId9" o:title="Logo Museo VG nuovo.jpg"/>
                </v:shape>
              </v:group>
            </w:pict>
          </mc:Fallback>
        </mc:AlternateContent>
      </w:r>
    </w:p>
    <w:sectPr>
      <w:headerReference w:type="default" r:id="rId10"/>
      <w:footerReference w:type="default" r:id="rId11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Punto elenco"/>
  </w:abstractNum>
  <w:abstractNum w:abstractNumId="1">
    <w:multiLevelType w:val="hybridMultilevel"/>
    <w:styleLink w:val="Punto elenco"/>
    <w:lvl w:ilvl="0">
      <w:start w:val="1"/>
      <w:numFmt w:val="bullet"/>
      <w:suff w:val="tab"/>
      <w:lvlText w:val="•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•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94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•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16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38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•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60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•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2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04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•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26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•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480" w:hanging="500"/>
      </w:pPr>
      <w:rPr>
        <w:rFonts w:ascii="Times" w:cs="Times" w:hAnsi="Times" w:eastAsia="Time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Di default">
    <w:name w:val="Di default"/>
    <w:next w:val="Di 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  <w:style w:type="numbering" w:styleId="Punto elenco">
    <w:name w:val="Punto elenco"/>
    <w:pPr>
      <w:numPr>
        <w:numId w:val="1"/>
      </w:numPr>
    </w:pPr>
  </w:style>
  <w:style w:type="character" w:styleId="Hyperlink.0">
    <w:name w:val="Hyperlink.0"/>
    <w:basedOn w:val="Hyperlink"/>
    <w:next w:val="Hyperlink.0"/>
    <w:rPr>
      <w:color w:val="0000ff"/>
      <w:u w:val="single" w:color="0000ff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2.png"/><Relationship Id="rId9" Type="http://schemas.openxmlformats.org/officeDocument/2006/relationships/image" Target="media/image4.jpeg"/><Relationship Id="rId10" Type="http://schemas.openxmlformats.org/officeDocument/2006/relationships/header" Target="header1.xml"/><Relationship Id="rId11" Type="http://schemas.openxmlformats.org/officeDocument/2006/relationships/footer" Target="footer1.xml"/><Relationship Id="rId12" Type="http://schemas.openxmlformats.org/officeDocument/2006/relationships/numbering" Target="numbering.xml"/><Relationship Id="rId13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